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160"/>
      </w:pPr>
      <w:r>
        <w:rPr>
          <w:rFonts w:ascii="Times New Roman" w:hAnsi="Times New Roman" w:cs="Times New Roman"/>
          <w:sz w:val="28"/>
          <w:sz-cs w:val="28"/>
          <w:spacing w:val="0"/>
          <w:color w:val="0E0E0E"/>
        </w:rPr>
        <w:t xml:space="preserve">San Francisco Bay Area, CA | (916) 990-8752 | jenny.tandel@icloud.com | linkedin.com/in/jennytandelpatel</w:t>
      </w:r>
    </w:p>
    <w:p>
      <w:pPr/>
      <w:r>
        <w:rPr>
          <w:rFonts w:ascii="Times New Roman" w:hAnsi="Times New Roman" w:cs="Times New Roman"/>
          <w:sz w:val="58"/>
          <w:sz-cs w:val="58"/>
          <w:b/>
          <w:spacing w:val="0"/>
          <w:color w:val="0E0E0E"/>
        </w:rPr>
        <w:t xml:space="preserve">Jenny Unnati Patel</w:t>
      </w:r>
    </w:p>
    <w:p>
      <w:pPr>
        <w:spacing w:after="266"/>
      </w:pPr>
      <w:r>
        <w:rPr>
          <w:rFonts w:ascii="Times New Roman" w:hAnsi="Times New Roman" w:cs="Times New Roman"/>
          <w:sz w:val="30"/>
          <w:sz-cs w:val="30"/>
          <w:b/>
          <w:spacing w:val="0"/>
          <w:color w:val="0E0E0E"/>
        </w:rPr>
        <w:t xml:space="preserve">PHR-Certified Operations Manager | People Operations | Legal Operations | Banking | Compliance | Real Estate &amp; Hospitality</w:t>
      </w:r>
    </w:p>
    <w:p>
      <w:pPr>
        <w:spacing w:after="160"/>
      </w:pPr>
      <w:r>
        <w:rPr>
          <w:rFonts w:ascii="Times New Roman" w:hAnsi="Times New Roman" w:cs="Times New Roman"/>
          <w:sz w:val="28"/>
          <w:sz-cs w:val="28"/>
          <w:b/>
          <w:spacing w:val="0"/>
          <w:color w:val="0E0E0E"/>
        </w:rPr>
        <w:t xml:space="preserve">PROFESSIONAL SUMMARY</w:t>
      </w:r>
    </w:p>
    <w:p>
      <w:pPr>
        <w:spacing w:after="186"/>
      </w:pP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PHR-certified people, operations, and legal-operations leader with 13+ years of experience across banking, legal, compliance, people operations, hospitality, and service-driven business environments. Background includes manager coaching, employee development, payroll and onboarding administration, HR compliance, legal-order and records workflows, audit-ready documentation, budget oversight, vendor management, staff leadership, process redesign, post-merger transition planning, event coordination, and customer-facing operations. Known for zero-error review of 500+ legal documents, 97% to 98% audit performance, $80K in vendor savings, $128K recovered through operational analysis, $150K in projected lease savings, and disciplined follow-through in regulated and high-accountability environments.</w:t>
      </w:r>
    </w:p>
    <w:p>
      <w:pPr>
        <w:spacing w:after="160"/>
      </w:pPr>
      <w:r>
        <w:rPr>
          <w:rFonts w:ascii="Times New Roman" w:hAnsi="Times New Roman" w:cs="Times New Roman"/>
          <w:sz w:val="28"/>
          <w:sz-cs w:val="28"/>
          <w:b/>
          <w:spacing w:val="0"/>
          <w:color w:val="0E0E0E"/>
        </w:rPr>
        <w:t xml:space="preserve">CORE EXPERTISE</w:t>
      </w:r>
    </w:p>
    <w:p>
      <w:pPr>
        <w:spacing w:after="133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People Operations and HR Leadership: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manager coaching, employee onboarding, payroll coordination, I-9 compliance, employee documentation, handbook and policy follow-through, workforce support, training, and rollout adoption.</w:t>
      </w:r>
    </w:p>
    <w:p>
      <w:pPr>
        <w:spacing w:after="133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Operations Leadership: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team leadership, multi-workstream execution, SOP design, workflow management, KPI reporting, escalation handling, staff coaching, budget stewardship, executive support, event planning, and change management.</w:t>
      </w:r>
    </w:p>
    <w:p>
      <w:pPr>
        <w:spacing w:after="133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Legal Operations and Paralegal Support: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legal-order intake and tracking, subpoenas, bankruptcy and records requests, legal holds, document production, contract and NDA workflows, entity and ownership documentation, matter-file organization, exhibit preparation, litigation-status support, and secure records handling.</w:t>
      </w:r>
    </w:p>
    <w:p>
      <w:pPr>
        <w:spacing w:after="133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Banking, Risk, and Compliance: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KYC/KYB, UBO documentation, wire and ACH operations, ICS/CDARS settlements, regulatory and audit readiness, fraud-risk review, trust and probate documentation, policy drafting, control reviews, and examiner-sensitive documentation.</w:t>
      </w:r>
    </w:p>
    <w:p>
      <w:pPr>
        <w:spacing w:after="133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Technology and Systems: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Brightflag, Exterro, Clio, Gusto, DocuSign, Bill.com, ClickUp, Tableau, Advanced Excel, Google Workspace, Salesforce, Zendesk, Slack, LexisNexis, Westlaw, SQL, Hotel Key, and AI-enabled workflow tools.</w:t>
      </w:r>
    </w:p>
    <w:p>
      <w:pPr>
        <w:spacing w:after="160"/>
      </w:pPr>
      <w:r>
        <w:rPr>
          <w:rFonts w:ascii="Times New Roman" w:hAnsi="Times New Roman" w:cs="Times New Roman"/>
          <w:sz w:val="28"/>
          <w:sz-cs w:val="28"/>
          <w:b/>
          <w:spacing w:val="0"/>
          <w:color w:val="0E0E0E"/>
        </w:rPr>
        <w:t xml:space="preserve">PROFESSIONAL EXPERIENCE</w:t>
      </w:r>
    </w:p>
    <w:p>
      <w:pPr>
        <w:spacing w:after="106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Specialist, Projects &amp; Data Analysis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United Business Bank</w:t>
        <w:br/>
        <w:t xml:space="preserve"/>
      </w:r>
      <w:r>
        <w:rPr>
          <w:rFonts w:ascii="Times New Roman" w:hAnsi="Times New Roman" w:cs="Times New Roman"/>
          <w:sz w:val="29"/>
          <w:sz-cs w:val="29"/>
          <w:i/>
          <w:spacing w:val="0"/>
          <w:color w:val="0E0E0E"/>
        </w:rPr>
        <w:t xml:space="preserve">Walnut Creek, CA | Mar 2026 - Present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/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Support an AI-review initiative for legal documents and build workflow structure for Requests for Production of Records, subpoenas, bankruptcy matters, and other banking legal-document requests.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Use Brightflag to support legal-operations workflows, review legal department budget activity, troubleshoot invoice issues, and improve visibility into spend, deadlines, and matter follow-through.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Audit document-retention settings, user access, debit-card lifecycle activity, and cross-platform dependencies to improve compliance tracking, searchability, and downstream records accuracy.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Coordinate legal orders, legal holds, records requests, and workflow exceptions across internal teams while standardizing review procedures for more consistent and timely completion.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Support data-cleanup and workflow-standardization efforts across core systems and document-imaging platforms, improving reporting consistency and operational follow-through.</w:t>
      </w:r>
    </w:p>
    <w:p>
      <w:pPr>
        <w:spacing w:after="106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Consultant, Legal Operations &amp; Executive Support (Contract)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FFL Law</w:t>
        <w:br/>
        <w:t xml:space="preserve"/>
      </w:r>
      <w:r>
        <w:rPr>
          <w:rFonts w:ascii="Times New Roman" w:hAnsi="Times New Roman" w:cs="Times New Roman"/>
          <w:sz w:val="29"/>
          <w:sz-cs w:val="29"/>
          <w:i/>
          <w:spacing w:val="0"/>
          <w:color w:val="0E0E0E"/>
        </w:rPr>
        <w:t xml:space="preserve">San Francisco, CA | Jul 2025 - Sep 2025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/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Managed 50+ concurrent legal, HR, finance, client-service, and vendor priorities while building SOPs, templates, trackers, and playbooks that reduced process delays by 50% and improved structured workflow adoption to 95%.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Supported contract, document-signature, and matter-tracking workflows across Clio, DocuSign, and Bill.com, improving on-time vendor payments to 98%, increasing billing realization from 82% to 94%, and reducing WIP leakage by $6K per month.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Owned the end-to-end Gusto workflow for offers, job postings, interview scheduling, onboarding, payroll, I-9 updates, and multi-state tax tasks, improving payroll accuracy from 93% to 99% and achieving 100% Day-1 I-9 compliance.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Used Exterro for discovery-related document research and filing, updated confidentiality and AI-usage procedures, and strengthened records discipline and defensible document organization.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Reviewed NDAs and confidentiality agreements, coordinated contract execution and retrieval workflows, and supported cross-functional follow-through across legal, HR, and finance workstreams.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Planned the JBASF 2025 gala end to end, including venue coordination, food and catering decisions, budget review, vendor communication, and logistics adjustments, including a date change completed without an added fee.</w:t>
      </w:r>
    </w:p>
    <w:p>
      <w:pPr>
        <w:spacing w:after="106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Assistant Vice President, Central Operations / Central Legal Operations Manager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United Business Bank</w:t>
        <w:br/>
        <w:t xml:space="preserve"/>
      </w:r>
      <w:r>
        <w:rPr>
          <w:rFonts w:ascii="Times New Roman" w:hAnsi="Times New Roman" w:cs="Times New Roman"/>
          <w:sz w:val="29"/>
          <w:sz-cs w:val="29"/>
          <w:i/>
          <w:spacing w:val="0"/>
          <w:color w:val="0E0E0E"/>
        </w:rPr>
        <w:t xml:space="preserve">Walnut Creek, CA | Feb 2024 - Jul 2025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/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Led a 15-member cross-functional team and standardized high-volume legal-document, payment, and records-request workflows across California, Colorado, Nevada, and New Mexico.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Processed and reviewed 500+ legal documents with zero errors, including levies, subpoenas, court orders, trust documents, powers of attorney, entity records, LLC operating agreements, and Requests for Business Production of Records.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Managed KYC/KYB documentation, UBO verification requests, wire and ACH operations, and ICS/CDARS settlements exceeding $5M while sustaining a 97% audit score and strong documentation control.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Managed the legal department budget within plan, reviewed branch and operating spend, trained staff on legal-review standards, and strengthened matter-file, deadline, and escalation discipline.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Directed five process improvements that reduced turnaround time by 40%, lowered escalations by 25%, and improved SLA adherence by 30% across operations and legal-order workflows.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Supported EDGAR Next access transition, prepared exhibits for 10-Q and litigation-status workflows, and handled confidential HR and employer-claims files with a high level of discretion and control.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Helped support three post-merger bank integrations, built 90-day transition structure around acquired-bank processes, and identified a lease-renewal alternative that projected approximately $150K in cost savings for the San Francisco location.</w:t>
      </w:r>
    </w:p>
    <w:p>
      <w:pPr>
        <w:spacing w:after="106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Senior Risk Operations Business Analyst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Patelco Credit Union</w:t>
        <w:br/>
        <w:t xml:space="preserve"/>
      </w:r>
      <w:r>
        <w:rPr>
          <w:rFonts w:ascii="Times New Roman" w:hAnsi="Times New Roman" w:cs="Times New Roman"/>
          <w:sz w:val="29"/>
          <w:sz-cs w:val="29"/>
          <w:i/>
          <w:spacing w:val="0"/>
          <w:color w:val="0E0E0E"/>
        </w:rPr>
        <w:t xml:space="preserve">Dublin, CA | Apr 2023 - Feb 2024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/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Built Tableau dashboards and reporting tools for volume, SLA performance, escalations, and operational trends, helping recover $128K in misallocated funds and improve leadership visibility.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Developed policies, procedures, and SLA frameworks with Risk Management and IT, reducing escalation tickets by 25% and improving workflow consistency in a payments and risk environment.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Designed and implemented a formal legal-hold process establishing documented procedures for preservation notices, custodian tracking, and hold release protocols.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Drafted ADA-compliant website disclosures and coordinated implementation with legal and web teams to strengthen documentation accuracy and compliance follow-through.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Reviewed trust and probate exceptions, payment-processing errors, and suspected fraud items and partnered on automation and AI-assisted controls improvements that supported a 97% audit score and helped prevent $1.2M+ in losses.</w:t>
      </w:r>
    </w:p>
    <w:p>
      <w:pPr>
        <w:spacing w:after="106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Senior Branch Manager III / Branch Manager II / Branch Manager I / Assistant Branch Manager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Wells Fargo Bank</w:t>
        <w:br/>
        <w:t xml:space="preserve"/>
      </w:r>
      <w:r>
        <w:rPr>
          <w:rFonts w:ascii="Times New Roman" w:hAnsi="Times New Roman" w:cs="Times New Roman"/>
          <w:sz w:val="29"/>
          <w:sz-cs w:val="29"/>
          <w:i/>
          <w:spacing w:val="0"/>
          <w:color w:val="0E0E0E"/>
        </w:rPr>
        <w:t xml:space="preserve">Bay Area, CA | Sep 2007 - Aug 2022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/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Directed operations across two branches with $350M+ in assets, 25 staff, 4,200+ trust and business accounts, and 11K+ annual customer interactions while maintaining 97% to 98% audit performance.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Reviewed legal orders, levies, subpoenas, court orders, trust documents, powers of attorney, and loan disclosures while coaching teams on documentation standards and audit readiness.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Achieved a 100% audit score for legal-orders management and 98%+ pass rates on federal-disclosure audits tied to Reg Z, TILA, RESPA, HMDA, and Reg C, and helped all 12 branches in the district pass operational-risk audits.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Built and helped scale the iDevelop people-development program by creating tailored action plans and coaching structure, improving engagement from 3.0 to 4.5, supporting 10 promotions, and reducing regional attrition from 42% to 17%.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Supported PPP rollout by training 25 outsourced workers within one week, creating a training guide and business-owner checklist adopted by 300+ staff, and helping 200+ applicants secure approval in 30 days with 94% QA accuracy.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Completed team NMLS renewal filings, supported audit-compliance work with investment regulatory examiners, and coordinated law-enforcement-sensitive financial-record production and asset-freeze documentation.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Served on the district events planning team and helped coordinate 15+ annual meetings, team-building programs, training events, and community volunteer initiatives.</w:t>
      </w:r>
    </w:p>
    <w:p>
      <w:pPr>
        <w:spacing w:after="160"/>
      </w:pPr>
      <w:r>
        <w:rPr>
          <w:rFonts w:ascii="Times New Roman" w:hAnsi="Times New Roman" w:cs="Times New Roman"/>
          <w:sz w:val="28"/>
          <w:sz-cs w:val="28"/>
          <w:b/>
          <w:spacing w:val="0"/>
          <w:color w:val="0E0E0E"/>
        </w:rPr>
        <w:t xml:space="preserve">ADDITIONAL BUSINESS AND HOSPITALITY EXPERIENCE</w:t>
      </w:r>
    </w:p>
    <w:p>
      <w:pPr>
        <w:spacing w:after="106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Assistant Residential Manager (Concurrent Family Business)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G6 Hospitality / Family Hospitality Operations</w:t>
        <w:br/>
        <w:t xml:space="preserve"/>
      </w:r>
      <w:r>
        <w:rPr>
          <w:rFonts w:ascii="Times New Roman" w:hAnsi="Times New Roman" w:cs="Times New Roman"/>
          <w:sz w:val="29"/>
          <w:sz-cs w:val="29"/>
          <w:i/>
          <w:spacing w:val="0"/>
          <w:color w:val="0E0E0E"/>
        </w:rPr>
        <w:t xml:space="preserve">Concord, CA | Jul 2018 - Aug 2022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/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Supported day-to-day operations for a 63-unit residential hotel serving roughly 250 residents, including resident and guest issues, rents, repairs, evictions, reservations, and third-party booking coordination.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Increased revenue by 50%, adding approximately $500K and reaching $1.5M YTD, while improving customer satisfaction by 42%.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Directed schedules for 11 employees, trained staff on Hotel Key, maintained 100% LMS completion, and kept night-audit payment processing errors below five annually.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Project-managed a $300K renovation budget and maintained property-level administrative, vendor, and labor-law compliance follow-through.</w:t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Supported the transition of family hotel properties into city affordable-housing and SRO use by reviewing agreements, ensuring all ownership signatures were completed, creating a process manual, and participating in walkthrough coordination.</w:t>
      </w:r>
    </w:p>
    <w:p>
      <w:pPr>
        <w:spacing w:after="106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F45 Franchise Business | Entrepreneurial Buildout Experience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/>
      </w:r>
    </w:p>
    <w:p>
      <w:pPr>
        <w:ind w:left="720" w:first-line="-720"/>
        <w:spacing w:after="106"/>
      </w:pPr>
      <w:r>
        <w:rPr>
          <w:rFonts w:ascii="Times New Roman" w:hAnsi="Times New Roman" w:cs="Times New Roman"/>
          <w:sz w:val="29"/>
          <w:sz-cs w:val="29"/>
          <w:color w:val="0E0E0E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Helped establish an F45 franchise business from the ground up, supporting startup setup, operating structure, and customer-experience execution in a wellness-oriented small-business environment.</w:t>
      </w:r>
    </w:p>
    <w:p>
      <w:pPr>
        <w:spacing w:after="160"/>
      </w:pPr>
      <w:r>
        <w:rPr>
          <w:rFonts w:ascii="Times New Roman" w:hAnsi="Times New Roman" w:cs="Times New Roman"/>
          <w:sz w:val="28"/>
          <w:sz-cs w:val="28"/>
          <w:b/>
          <w:spacing w:val="0"/>
          <w:color w:val="0E0E0E"/>
        </w:rPr>
        <w:t xml:space="preserve">EDUCATION AND CREDENTIALS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Professional in Human Resources (PHR) Certification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HRCI | Jul 2021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ABA-Approved Paralegal Certificate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University of California, Irvine | Mar 2026 | GPA: 4.0</w:t>
        <w:br/>
        <w:t xml:space="preserve">Coursework: Contracts, Corporate, Real Estate, Civil Litigation, Legal Research, Legal Writing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Legal Research and Analysis Credential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University of California, Irvine | Mar 2026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Contract Clause Drafting Certificate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University of California, Irvine | Nov 2025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B.S. Business Management and B.S. Human Resource Management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California State University, Sacramento | May 2012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California Real Estate License Coursework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AceableAgent | In Progress</w:t>
      </w:r>
    </w:p>
    <w:p>
      <w:pPr>
        <w:spacing w:after="160"/>
      </w:pPr>
      <w:r>
        <w:rPr>
          <w:rFonts w:ascii="Times New Roman" w:hAnsi="Times New Roman" w:cs="Times New Roman"/>
          <w:sz w:val="28"/>
          <w:sz-cs w:val="28"/>
          <w:b/>
          <w:spacing w:val="0"/>
          <w:color w:val="0E0E0E"/>
        </w:rPr>
        <w:t xml:space="preserve">PROFESSIONAL DEVELOPMENT, MEMBERSHIPS, AND TECHNOLOGY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San Francisco Paralegal Association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Active Professional Member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Leadership Training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Situational Leadership I and II, Crucial Conversations, Transformational Leadership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Team Development Program Design - Wells Fargo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Built development action plans, coaching guides, and structured team rollout support tied to iDevelop-style leadership adoption and manager coaching.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Legal Technology and AI Training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Nvidia Agentic AI Certification (In Progress), Legal Technology Certificate - National Society of Legal Technology (In Progress), Ironclad Administrator Certification (In Progress)</w:t>
      </w:r>
    </w:p>
    <w:p>
      <w:pPr>
        <w:spacing w:after="160"/>
      </w:pPr>
      <w:r>
        <w:rPr>
          <w:rFonts w:ascii="Times New Roman" w:hAnsi="Times New Roman" w:cs="Times New Roman"/>
          <w:sz w:val="29"/>
          <w:sz-cs w:val="29"/>
          <w:b/>
          <w:spacing w:val="0"/>
          <w:color w:val="0E0E0E"/>
        </w:rPr>
        <w:t xml:space="preserve">Selected Systems</w:t>
      </w:r>
      <w:r>
        <w:rPr>
          <w:rFonts w:ascii="Times New Roman" w:hAnsi="Times New Roman" w:cs="Times New Roman"/>
          <w:sz w:val="29"/>
          <w:sz-cs w:val="29"/>
          <w:spacing w:val="0"/>
          <w:color w:val="0E0E0E"/>
        </w:rPr>
        <w:t xml:space="preserve"> | Brightflag, Exterro, Clio, Gusto, DocuSign, Bill.com, ClickUp, Tableau, Advanced Excel, Google Workspace, Salesforce, Zendesk, Slack, Westlaw, LexisNexis, SQL, Hotel Key, and AI-enabled workflow tools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